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2B1E0">
      <w:pPr>
        <w:keepNext w:val="0"/>
        <w:keepLines w:val="0"/>
        <w:pageBreakBefore w:val="0"/>
        <w:widowControl/>
        <w:pBdr>
          <w:bottom w:val="single" w:color="9FB3D1" w:sz="6" w:space="1"/>
        </w:pBdr>
        <w:kinsoku/>
        <w:wordWrap/>
        <w:overflowPunct/>
        <w:topLinePunct w:val="0"/>
        <w:autoSpaceDE/>
        <w:autoSpaceDN/>
        <w:bidi w:val="0"/>
        <w:adjustRightInd/>
        <w:snapToGrid/>
        <w:spacing w:before="0" w:after="0" w:line="240" w:lineRule="auto"/>
        <w:jc w:val="center"/>
        <w:textAlignment w:val="auto"/>
        <w:rPr>
          <w:sz w:val="2"/>
          <w:szCs w:val="2"/>
        </w:rPr>
      </w:pPr>
    </w:p>
    <w:p w14:paraId="57BC3AE5">
      <w:pPr>
        <w:tabs>
          <w:tab w:val="left" w:pos="2434"/>
          <w:tab w:val="right" w:pos="9027"/>
        </w:tabs>
        <w:spacing w:after="0" w:line="240" w:lineRule="auto"/>
        <w:jc w:val="center"/>
        <w:rPr>
          <w:rFonts w:ascii="Cambria" w:hAnsi="Cambria" w:eastAsia="Cambria" w:cs="Cambria"/>
          <w:sz w:val="4"/>
          <w:szCs w:val="4"/>
        </w:rPr>
      </w:pPr>
    </w:p>
    <w:p w14:paraId="69D296F9">
      <w:pPr>
        <w:tabs>
          <w:tab w:val="left" w:pos="2434"/>
          <w:tab w:val="right" w:pos="9027"/>
        </w:tabs>
        <w:spacing w:after="0" w:line="240" w:lineRule="auto"/>
        <w:jc w:val="center"/>
        <w:rPr>
          <w:rFonts w:ascii="Cambria" w:hAnsi="Cambria" w:eastAsia="Cambria" w:cs="Cambria"/>
          <w:sz w:val="18"/>
          <w:szCs w:val="18"/>
        </w:rPr>
      </w:pPr>
      <w:r>
        <w:rPr>
          <w:rFonts w:ascii="Cambria" w:hAnsi="Cambria" w:eastAsia="Cambria" w:cs="Cambria"/>
          <w:sz w:val="18"/>
          <w:szCs w:val="18"/>
        </w:rPr>
        <w:t>P-ISSN: 2541-6960</w:t>
      </w:r>
      <w:r>
        <w:rPr>
          <w:rFonts w:hint="default" w:ascii="Cambria" w:hAnsi="Cambria" w:eastAsia="Cambria" w:cs="Cambria"/>
          <w:sz w:val="18"/>
          <w:szCs w:val="18"/>
          <w:lang w:val="en-US"/>
        </w:rPr>
        <w:t xml:space="preserve"> | </w:t>
      </w:r>
      <w:r>
        <w:rPr>
          <w:rFonts w:ascii="Cambria" w:hAnsi="Cambria" w:eastAsia="Cambria" w:cs="Cambria"/>
          <w:sz w:val="18"/>
          <w:szCs w:val="18"/>
        </w:rPr>
        <w:t>E-ISSN: 2549-8754</w:t>
      </w:r>
    </w:p>
    <w:p w14:paraId="3A9A4B4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Cambria" w:hAnsi="Cambria" w:eastAsia="Cambria"/>
          <w:b/>
          <w:i w:val="0"/>
          <w:sz w:val="32"/>
          <w:szCs w:val="32"/>
        </w:rPr>
      </w:pPr>
      <w:r>
        <w:rPr>
          <w:rFonts w:ascii="Cambria" w:hAnsi="Cambria" w:eastAsia="Cambria"/>
          <w:b/>
          <w:i w:val="0"/>
          <w:sz w:val="32"/>
          <w:szCs w:val="32"/>
        </w:rPr>
        <w:t>Yupa: Historical Studies Journal</w:t>
      </w:r>
    </w:p>
    <w:p w14:paraId="193D26D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Cambria" w:hAnsi="Cambria" w:eastAsia="Cambria" w:cs="Cambria"/>
          <w:color w:val="000000"/>
          <w:sz w:val="20"/>
          <w:szCs w:val="20"/>
          <w:lang w:val="en-US"/>
        </w:rPr>
      </w:pPr>
      <w:r>
        <w:t>Vol. 10, No. 1, 2026, pp. 69–7</w:t>
      </w:r>
      <w:r>
        <w:rPr>
          <w:rFonts w:hint="default"/>
          <w:lang w:val="en-US"/>
        </w:rPr>
        <w:t>6</w:t>
      </w:r>
    </w:p>
    <w:p w14:paraId="20EDCD75">
      <w:pPr>
        <w:keepNext w:val="0"/>
        <w:keepLines w:val="0"/>
        <w:pageBreakBefore w:val="0"/>
        <w:widowControl/>
        <w:pBdr>
          <w:bottom w:val="single" w:color="9FB3D1" w:sz="6" w:space="1"/>
        </w:pBdr>
        <w:kinsoku/>
        <w:wordWrap/>
        <w:overflowPunct/>
        <w:topLinePunct w:val="0"/>
        <w:autoSpaceDE/>
        <w:autoSpaceDN/>
        <w:bidi w:val="0"/>
        <w:adjustRightInd/>
        <w:snapToGrid/>
        <w:spacing w:before="0" w:after="0" w:line="240" w:lineRule="auto"/>
        <w:jc w:val="center"/>
        <w:textAlignment w:val="auto"/>
        <w:rPr>
          <w:rFonts w:hint="default" w:ascii="Cambria" w:hAnsi="Cambria" w:eastAsia="Cambria"/>
          <w:b w:val="0"/>
          <w:bCs w:val="0"/>
          <w:i w:val="0"/>
          <w:sz w:val="20"/>
          <w:szCs w:val="20"/>
          <w:lang w:val="en-US"/>
        </w:rPr>
      </w:pPr>
      <w:r>
        <w:fldChar w:fldCharType="begin"/>
      </w:r>
      <w:r>
        <w:instrText xml:space="preserve"> HYPERLINK "https://doi.org/10.30872/yupa.v10i1.6252" </w:instrText>
      </w:r>
      <w:r>
        <w:fldChar w:fldCharType="separate"/>
      </w:r>
      <w:r>
        <w:rPr>
          <w:rStyle w:val="20"/>
        </w:rPr>
        <w:t>https://doi.org/10.30872/yupa.v10i1.6252</w:t>
      </w:r>
      <w:r>
        <w:fldChar w:fldCharType="end"/>
      </w:r>
      <w:r>
        <w:rPr>
          <w:rFonts w:hint="default"/>
          <w:lang w:val="en-US"/>
        </w:rPr>
        <w:t xml:space="preserve"> </w:t>
      </w:r>
    </w:p>
    <w:p w14:paraId="473CC2D6">
      <w:pPr>
        <w:keepNext w:val="0"/>
        <w:keepLines w:val="0"/>
        <w:pageBreakBefore w:val="0"/>
        <w:widowControl/>
        <w:pBdr>
          <w:bottom w:val="single" w:color="9FB3D1" w:sz="6" w:space="1"/>
        </w:pBdr>
        <w:kinsoku/>
        <w:wordWrap/>
        <w:overflowPunct/>
        <w:topLinePunct w:val="0"/>
        <w:autoSpaceDE/>
        <w:autoSpaceDN/>
        <w:bidi w:val="0"/>
        <w:adjustRightInd/>
        <w:snapToGrid/>
        <w:spacing w:before="0" w:after="120" w:line="240" w:lineRule="auto"/>
        <w:jc w:val="center"/>
        <w:textAlignment w:val="auto"/>
        <w:rPr>
          <w:rFonts w:hint="default" w:ascii="Cambria" w:hAnsi="Cambria" w:eastAsia="Cambria"/>
          <w:b w:val="0"/>
          <w:bCs w:val="0"/>
          <w:i w:val="0"/>
          <w:sz w:val="4"/>
          <w:szCs w:val="4"/>
          <w:lang w:val="en-US"/>
        </w:rPr>
      </w:pPr>
    </w:p>
    <w:p w14:paraId="11CD617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bCs/>
          <w:sz w:val="32"/>
          <w:szCs w:val="32"/>
        </w:rPr>
      </w:pPr>
      <w:r>
        <w:rPr>
          <w:b/>
          <w:bCs/>
          <w:sz w:val="32"/>
          <w:szCs w:val="32"/>
        </w:rPr>
        <w:t>Capitalism and the History of Rural Java: The Dynamics of Economic and Political Oligarchy in Villages during the New Order</w:t>
      </w:r>
    </w:p>
    <w:p w14:paraId="5C310DB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sz w:val="24"/>
          <w:szCs w:val="24"/>
        </w:rPr>
      </w:pPr>
    </w:p>
    <w:p w14:paraId="28D8002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bCs/>
        </w:rPr>
      </w:pPr>
      <w:r>
        <w:rPr>
          <w:b/>
          <w:bCs/>
        </w:rPr>
        <w:t>Pasang Budy All Shodiq</w:t>
      </w:r>
      <w:r>
        <w:rPr>
          <w:rFonts w:hint="default"/>
          <w:b/>
          <w:bCs/>
          <w:lang w:val="en-US"/>
        </w:rPr>
        <w:t>*</w:t>
      </w:r>
      <w:r>
        <w:rPr>
          <w:b/>
          <w:bCs/>
        </w:rPr>
        <w:t xml:space="preserve">, Fernanda Prasky Hartono, Anis Syatul Hilmiah, </w:t>
      </w:r>
    </w:p>
    <w:p w14:paraId="1B807D1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bCs/>
        </w:rPr>
      </w:pPr>
      <w:r>
        <w:rPr>
          <w:b/>
          <w:bCs/>
        </w:rPr>
        <w:t>Fachri Zulfikar, Nurul Umamah</w:t>
      </w:r>
    </w:p>
    <w:p w14:paraId="5FB94835">
      <w:pPr>
        <w:keepNext w:val="0"/>
        <w:keepLines w:val="0"/>
        <w:pageBreakBefore w:val="0"/>
        <w:widowControl/>
        <w:kinsoku/>
        <w:wordWrap/>
        <w:overflowPunct/>
        <w:topLinePunct w:val="0"/>
        <w:autoSpaceDE/>
        <w:autoSpaceDN/>
        <w:bidi w:val="0"/>
        <w:adjustRightInd/>
        <w:snapToGrid/>
        <w:spacing w:after="0"/>
        <w:jc w:val="center"/>
        <w:textAlignment w:val="auto"/>
      </w:pPr>
      <w:r>
        <w:t>University of Jember, Jember, Indonesia</w:t>
      </w:r>
    </w:p>
    <w:p w14:paraId="096DB946">
      <w:pPr>
        <w:spacing w:after="0"/>
        <w:jc w:val="center"/>
        <w:rPr>
          <w:sz w:val="20"/>
        </w:rPr>
      </w:pPr>
    </w:p>
    <w:p w14:paraId="663AB180">
      <w:pPr>
        <w:spacing w:after="160"/>
        <w:jc w:val="center"/>
        <w:rPr>
          <w:rFonts w:hint="default"/>
          <w:lang w:val="en-US"/>
        </w:rPr>
      </w:pPr>
      <w:r>
        <w:t xml:space="preserve">* Corresponding author: </w:t>
      </w:r>
      <w:r>
        <w:fldChar w:fldCharType="begin"/>
      </w:r>
      <w:r>
        <w:instrText xml:space="preserve"> HYPERLINK "mailto:pasangbudyallshodiq@unej.ac.id" </w:instrText>
      </w:r>
      <w:r>
        <w:fldChar w:fldCharType="separate"/>
      </w:r>
      <w:r>
        <w:rPr>
          <w:rStyle w:val="20"/>
        </w:rPr>
        <w:t>pasangbudyallshodiq@unej.ac.id</w:t>
      </w:r>
      <w:r>
        <w:fldChar w:fldCharType="end"/>
      </w:r>
      <w:r>
        <w:rPr>
          <w:rFonts w:hint="default"/>
          <w:lang w:val="en-US"/>
        </w:rPr>
        <w:t xml:space="preserve"> </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4"/>
      </w:tblGrid>
      <w:tr w14:paraId="600A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8" w:type="dxa"/>
            <w:tcBorders>
              <w:top w:val="single" w:color="D3DCEA" w:sz="6" w:space="0"/>
              <w:left w:val="single" w:color="D3DCEA" w:sz="6" w:space="0"/>
              <w:bottom w:val="single" w:color="D3DCEA" w:sz="6" w:space="0"/>
              <w:right w:val="single" w:color="D3DCEA" w:sz="6" w:space="0"/>
            </w:tcBorders>
            <w:shd w:val="clear" w:color="auto" w:fill="EDF5FA"/>
            <w:tcMar>
              <w:top w:w="90" w:type="dxa"/>
              <w:left w:w="100" w:type="dxa"/>
              <w:bottom w:w="90" w:type="dxa"/>
              <w:right w:w="100" w:type="dxa"/>
            </w:tcMar>
          </w:tcPr>
          <w:p w14:paraId="37CEDF30">
            <w:pPr>
              <w:keepNext w:val="0"/>
              <w:keepLines w:val="0"/>
              <w:pageBreakBefore w:val="0"/>
              <w:widowControl/>
              <w:kinsoku/>
              <w:wordWrap/>
              <w:overflowPunct/>
              <w:topLinePunct w:val="0"/>
              <w:autoSpaceDE/>
              <w:autoSpaceDN/>
              <w:bidi w:val="0"/>
              <w:adjustRightInd/>
              <w:snapToGrid/>
              <w:spacing w:after="0" w:line="240" w:lineRule="auto"/>
              <w:jc w:val="both"/>
              <w:textAlignment w:val="auto"/>
            </w:pPr>
            <w:r>
              <w:rPr>
                <w:b/>
                <w:bCs/>
              </w:rPr>
              <w:t>Abstract</w:t>
            </w:r>
            <w:r>
              <w:br w:type="textWrapping"/>
            </w:r>
            <w:r>
              <w:t>This article examines the historical formation and strengthening of economic and political oligarchy in rural Java during the New Order within the framework of state capitalism. Using a critical historical approach, it analyzes historical literature, scholarly articles, and contemporary news through heuristic, verification, interpretation, and historiography. The study shows that New Order development policies, especially the Green Revolution and village standardization under Law No. 5 of 1979, turned villages into political and economic instruments of the state. Village elites acted as intermediaries between state interests and capital, producing oligarchic structures at the local level. This article argues that oligarchy in rural Java was historically shaped through development policy, capital penetration, and village power restructuring, thereby contributing to the historiography of rural political history in Indonesia.</w:t>
            </w:r>
          </w:p>
        </w:tc>
      </w:tr>
    </w:tbl>
    <w:p w14:paraId="2FCE4724">
      <w:pPr>
        <w:keepNext w:val="0"/>
        <w:keepLines w:val="0"/>
        <w:pageBreakBefore w:val="0"/>
        <w:widowControl/>
        <w:kinsoku/>
        <w:wordWrap/>
        <w:overflowPunct/>
        <w:topLinePunct w:val="0"/>
        <w:autoSpaceDE/>
        <w:autoSpaceDN/>
        <w:bidi w:val="0"/>
        <w:adjustRightInd/>
        <w:snapToGrid/>
        <w:spacing w:after="0"/>
        <w:textAlignment w:val="auto"/>
        <w:rPr>
          <w:sz w:val="20"/>
          <w:szCs w:val="20"/>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4"/>
      </w:tblGrid>
      <w:tr w14:paraId="7AAA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8" w:type="dxa"/>
            <w:tcBorders>
              <w:top w:val="single" w:color="D3DCEA" w:sz="6" w:space="0"/>
              <w:left w:val="single" w:color="D3DCEA" w:sz="6" w:space="0"/>
              <w:bottom w:val="single" w:color="D3DCEA" w:sz="6" w:space="0"/>
              <w:right w:val="single" w:color="D3DCEA" w:sz="6" w:space="0"/>
            </w:tcBorders>
            <w:shd w:val="clear" w:color="auto" w:fill="EDF5FA"/>
            <w:tcMar>
              <w:top w:w="90" w:type="dxa"/>
              <w:left w:w="100" w:type="dxa"/>
              <w:bottom w:w="90" w:type="dxa"/>
              <w:right w:w="100" w:type="dxa"/>
            </w:tcMar>
          </w:tcPr>
          <w:p w14:paraId="1B0F7647">
            <w:pPr>
              <w:keepNext w:val="0"/>
              <w:keepLines w:val="0"/>
              <w:pageBreakBefore w:val="0"/>
              <w:widowControl/>
              <w:kinsoku/>
              <w:wordWrap/>
              <w:overflowPunct/>
              <w:topLinePunct w:val="0"/>
              <w:autoSpaceDE/>
              <w:autoSpaceDN/>
              <w:bidi w:val="0"/>
              <w:adjustRightInd/>
              <w:snapToGrid/>
              <w:spacing w:after="0"/>
              <w:textAlignment w:val="auto"/>
            </w:pPr>
            <w:r>
              <w:rPr>
                <w:b/>
                <w:bCs/>
              </w:rPr>
              <w:t>Keywords</w:t>
            </w:r>
            <w:r>
              <w:br w:type="textWrapping"/>
            </w:r>
            <w:r>
              <w:t>oligarchy; state capitalism; rural Java; village politics; New Order</w:t>
            </w:r>
          </w:p>
        </w:tc>
      </w:tr>
    </w:tbl>
    <w:p w14:paraId="49EEC817">
      <w:pPr>
        <w:keepNext w:val="0"/>
        <w:keepLines w:val="0"/>
        <w:pageBreakBefore w:val="0"/>
        <w:widowControl/>
        <w:kinsoku/>
        <w:wordWrap/>
        <w:overflowPunct/>
        <w:topLinePunct w:val="0"/>
        <w:autoSpaceDE/>
        <w:autoSpaceDN/>
        <w:bidi w:val="0"/>
        <w:adjustRightInd/>
        <w:snapToGrid/>
        <w:spacing w:after="0"/>
        <w:textAlignment w:val="auto"/>
        <w:rPr>
          <w:sz w:val="20"/>
          <w:szCs w:val="20"/>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4"/>
      </w:tblGrid>
      <w:tr w14:paraId="6B31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8" w:type="dxa"/>
            <w:tcBorders>
              <w:top w:val="single" w:color="D3DCEA" w:sz="6" w:space="0"/>
              <w:left w:val="single" w:color="D3DCEA" w:sz="6" w:space="0"/>
              <w:bottom w:val="single" w:color="D3DCEA" w:sz="6" w:space="0"/>
              <w:right w:val="single" w:color="D3DCEA" w:sz="6" w:space="0"/>
            </w:tcBorders>
            <w:shd w:val="clear" w:color="auto" w:fill="EDF5FA"/>
            <w:tcMar>
              <w:top w:w="90" w:type="dxa"/>
              <w:left w:w="100" w:type="dxa"/>
              <w:bottom w:w="90" w:type="dxa"/>
              <w:right w:w="100" w:type="dxa"/>
            </w:tcMar>
          </w:tcPr>
          <w:p w14:paraId="1110A40C">
            <w:pPr>
              <w:keepNext w:val="0"/>
              <w:keepLines w:val="0"/>
              <w:pageBreakBefore w:val="0"/>
              <w:widowControl/>
              <w:kinsoku/>
              <w:wordWrap/>
              <w:overflowPunct/>
              <w:topLinePunct w:val="0"/>
              <w:autoSpaceDE/>
              <w:autoSpaceDN/>
              <w:bidi w:val="0"/>
              <w:adjustRightInd/>
              <w:snapToGrid/>
              <w:spacing w:after="0"/>
              <w:textAlignment w:val="auto"/>
            </w:pPr>
            <w:r>
              <w:rPr>
                <w:b/>
                <w:bCs/>
              </w:rPr>
              <w:t>Article History</w:t>
            </w:r>
          </w:p>
          <w:tbl>
            <w:tblPr>
              <w:tblStyle w:val="36"/>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6"/>
              <w:gridCol w:w="2076"/>
              <w:gridCol w:w="2076"/>
              <w:gridCol w:w="2076"/>
            </w:tblGrid>
            <w:tr w14:paraId="53F8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6" w:type="dxa"/>
                </w:tcPr>
                <w:p w14:paraId="457EAD43">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rPr>
                      <w:rFonts w:hint="default"/>
                    </w:rPr>
                    <w:t>Received</w:t>
                  </w:r>
                </w:p>
              </w:tc>
              <w:tc>
                <w:tcPr>
                  <w:tcW w:w="2076" w:type="dxa"/>
                </w:tcPr>
                <w:p w14:paraId="630E8002">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rPr>
                      <w:rFonts w:hint="default"/>
                    </w:rPr>
                    <w:t>Revised</w:t>
                  </w:r>
                </w:p>
              </w:tc>
              <w:tc>
                <w:tcPr>
                  <w:tcW w:w="2076" w:type="dxa"/>
                </w:tcPr>
                <w:p w14:paraId="08F05D7A">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rPr>
                      <w:rFonts w:hint="default"/>
                    </w:rPr>
                    <w:t>Accepted</w:t>
                  </w:r>
                </w:p>
              </w:tc>
              <w:tc>
                <w:tcPr>
                  <w:tcW w:w="2076" w:type="dxa"/>
                </w:tcPr>
                <w:p w14:paraId="1E76ED3B">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rPr>
                      <w:rFonts w:hint="default"/>
                    </w:rPr>
                    <w:t>Published</w:t>
                  </w:r>
                </w:p>
              </w:tc>
            </w:tr>
            <w:tr w14:paraId="7A53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6" w:type="dxa"/>
                </w:tcPr>
                <w:p w14:paraId="0362D8BB">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t>08 January 2026</w:t>
                  </w:r>
                </w:p>
              </w:tc>
              <w:tc>
                <w:tcPr>
                  <w:tcW w:w="2076" w:type="dxa"/>
                </w:tcPr>
                <w:p w14:paraId="606A0B25">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t>28 April 2026</w:t>
                  </w:r>
                </w:p>
              </w:tc>
              <w:tc>
                <w:tcPr>
                  <w:tcW w:w="2076" w:type="dxa"/>
                </w:tcPr>
                <w:p w14:paraId="05586C2D">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t>28 April 2026</w:t>
                  </w:r>
                </w:p>
              </w:tc>
              <w:tc>
                <w:tcPr>
                  <w:tcW w:w="2076" w:type="dxa"/>
                </w:tcPr>
                <w:p w14:paraId="30B38012">
                  <w:pPr>
                    <w:keepNext w:val="0"/>
                    <w:keepLines w:val="0"/>
                    <w:pageBreakBefore w:val="0"/>
                    <w:widowControl/>
                    <w:kinsoku/>
                    <w:wordWrap/>
                    <w:overflowPunct/>
                    <w:topLinePunct w:val="0"/>
                    <w:autoSpaceDE/>
                    <w:autoSpaceDN/>
                    <w:bidi w:val="0"/>
                    <w:adjustRightInd/>
                    <w:snapToGrid/>
                    <w:spacing w:after="0"/>
                    <w:jc w:val="left"/>
                    <w:textAlignment w:val="auto"/>
                    <w:rPr>
                      <w:rFonts w:ascii="Cambria" w:hAnsi="Cambria"/>
                      <w:b/>
                      <w:sz w:val="21"/>
                      <w:vertAlign w:val="baseline"/>
                    </w:rPr>
                  </w:pPr>
                  <w:r>
                    <w:t>30 April 2026</w:t>
                  </w:r>
                </w:p>
              </w:tc>
            </w:tr>
          </w:tbl>
          <w:p w14:paraId="2B857907">
            <w:pPr>
              <w:keepNext w:val="0"/>
              <w:keepLines w:val="0"/>
              <w:pageBreakBefore w:val="0"/>
              <w:widowControl/>
              <w:kinsoku/>
              <w:wordWrap/>
              <w:overflowPunct/>
              <w:topLinePunct w:val="0"/>
              <w:autoSpaceDE/>
              <w:autoSpaceDN/>
              <w:bidi w:val="0"/>
              <w:adjustRightInd/>
              <w:snapToGrid/>
              <w:spacing w:after="0"/>
              <w:textAlignment w:val="auto"/>
            </w:pPr>
          </w:p>
        </w:tc>
      </w:tr>
    </w:tbl>
    <w:p w14:paraId="76D0FED8">
      <w:pPr>
        <w:keepNext w:val="0"/>
        <w:keepLines w:val="0"/>
        <w:pageBreakBefore w:val="0"/>
        <w:widowControl/>
        <w:kinsoku/>
        <w:wordWrap/>
        <w:overflowPunct/>
        <w:topLinePunct w:val="0"/>
        <w:autoSpaceDE/>
        <w:autoSpaceDN/>
        <w:bidi w:val="0"/>
        <w:adjustRightInd/>
        <w:snapToGrid/>
        <w:spacing w:after="0"/>
        <w:textAlignment w:val="auto"/>
        <w:rPr>
          <w:sz w:val="20"/>
          <w:szCs w:val="20"/>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4"/>
      </w:tblGrid>
      <w:tr w14:paraId="50BB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8" w:type="dxa"/>
            <w:tcBorders>
              <w:top w:val="single" w:color="D3DCEA" w:sz="6" w:space="0"/>
              <w:left w:val="single" w:color="D3DCEA" w:sz="6" w:space="0"/>
              <w:bottom w:val="single" w:color="D3DCEA" w:sz="6" w:space="0"/>
              <w:right w:val="single" w:color="D3DCEA" w:sz="6" w:space="0"/>
            </w:tcBorders>
            <w:shd w:val="clear" w:color="auto" w:fill="EDF5FA"/>
            <w:tcMar>
              <w:top w:w="90" w:type="dxa"/>
              <w:left w:w="100" w:type="dxa"/>
              <w:bottom w:w="90" w:type="dxa"/>
              <w:right w:w="100" w:type="dxa"/>
            </w:tcMar>
          </w:tcPr>
          <w:p w14:paraId="3CF9F808">
            <w:pPr>
              <w:keepNext w:val="0"/>
              <w:keepLines w:val="0"/>
              <w:pageBreakBefore w:val="0"/>
              <w:widowControl/>
              <w:kinsoku/>
              <w:wordWrap/>
              <w:overflowPunct/>
              <w:topLinePunct w:val="0"/>
              <w:autoSpaceDE/>
              <w:autoSpaceDN/>
              <w:bidi w:val="0"/>
              <w:adjustRightInd/>
              <w:snapToGrid/>
              <w:spacing w:after="0"/>
              <w:jc w:val="both"/>
              <w:textAlignment w:val="auto"/>
              <w:rPr>
                <w:b/>
                <w:bCs/>
              </w:rPr>
            </w:pPr>
            <w:r>
              <w:rPr>
                <w:b/>
                <w:bCs/>
              </w:rPr>
              <w:t>How to Cite</w:t>
            </w:r>
          </w:p>
          <w:p w14:paraId="4774985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lang w:val="en-US"/>
              </w:rPr>
            </w:pPr>
            <w:r>
              <w:t>Shodiq, P. B</w:t>
            </w:r>
            <w:r>
              <w:rPr>
                <w:rFonts w:hint="default"/>
                <w:lang w:val="en-US"/>
              </w:rPr>
              <w:t>. A</w:t>
            </w:r>
            <w:r>
              <w:t xml:space="preserve">., Hartono, F. P., Hilmiah, A. S., Zulfikar, F., &amp; Umamah, N. (2026). Capitalism and the history of rural Java: The dynamics of economic and political oligarchy in villages during the New Order. </w:t>
            </w:r>
            <w:r>
              <w:rPr>
                <w:i/>
                <w:iCs/>
              </w:rPr>
              <w:t>Yupa: Historical Studies Journal</w:t>
            </w:r>
            <w:r>
              <w:t xml:space="preserve">, 10(1), 69–76. </w:t>
            </w:r>
            <w:r>
              <w:fldChar w:fldCharType="begin"/>
            </w:r>
            <w:r>
              <w:instrText xml:space="preserve"> HYPERLINK "https://doi.org/10.30872/yupa.v10i1.6252" </w:instrText>
            </w:r>
            <w:r>
              <w:fldChar w:fldCharType="separate"/>
            </w:r>
            <w:r>
              <w:rPr>
                <w:rStyle w:val="20"/>
              </w:rPr>
              <w:t>https://doi.org/10.30872/yupa.v10i1.6252</w:t>
            </w:r>
            <w:r>
              <w:fldChar w:fldCharType="end"/>
            </w:r>
            <w:r>
              <w:rPr>
                <w:rFonts w:hint="default"/>
                <w:lang w:val="en-US"/>
              </w:rPr>
              <w:t xml:space="preserve"> </w:t>
            </w:r>
          </w:p>
        </w:tc>
      </w:tr>
    </w:tbl>
    <w:p w14:paraId="0272FE3B">
      <w:pPr>
        <w:rPr>
          <w:b/>
          <w:sz w:val="24"/>
        </w:rPr>
      </w:pPr>
      <w:r>
        <w:rPr>
          <w:b/>
          <w:sz w:val="24"/>
        </w:rPr>
        <w:br w:type="page"/>
      </w:r>
    </w:p>
    <w:p w14:paraId="0DD4FAEF">
      <w:pPr>
        <w:spacing w:before="160" w:after="80"/>
      </w:pPr>
      <w:r>
        <w:rPr>
          <w:b/>
          <w:bCs/>
          <w:sz w:val="24"/>
          <w:szCs w:val="24"/>
        </w:rPr>
        <w:t>Introduction</w:t>
      </w:r>
    </w:p>
    <w:p w14:paraId="6EA45780">
      <w:pPr>
        <w:spacing w:after="80" w:line="240" w:lineRule="auto"/>
        <w:ind w:firstLine="425"/>
        <w:jc w:val="both"/>
      </w:pPr>
      <w:r>
        <w:t>Oligarchy in Indonesian politics has recently re-emerged as an intense topic of debate in both academic studies and public discourse. In general, oligarchy may be understood as a form of power relation in which economic and political resources are concentrated in the hands of a small elite that is able to maintain and reproduce its power through control over institutions, policies, and networks of influence (Winters, 2013, p. 15). Most discussions of oligarchy in Indonesia focus primarily on the state and political-economic elites at the national level. Such an approach, however, often overlooks how oligarchy operates concretely at the local level, especially in rural areas.</w:t>
      </w:r>
    </w:p>
    <w:p w14:paraId="3C97AC43">
      <w:pPr>
        <w:spacing w:after="80" w:line="240" w:lineRule="auto"/>
        <w:ind w:firstLine="425"/>
        <w:jc w:val="both"/>
      </w:pPr>
      <w:r>
        <w:t>From a historical perspective, the formation of oligarchy in Indonesia cannot be separated from the development of capitalism, which began in the colonial period and reached a strong consolidation during the New Order (1966–1998). In this period, the state used economic development as the basis of political legitimacy by implementing centralized and growth-oriented policies. The state actively facilitated capital accumulation through regulation, development projects, and control over natural and agrarian resources (Robison, 1986, pp. 105–107). This relationship between political power and economic interests produced oligarchic structures that did not operate only at the center, but also penetrated local society.</w:t>
      </w:r>
    </w:p>
    <w:p w14:paraId="27F6B1A1">
      <w:pPr>
        <w:spacing w:after="80" w:line="240" w:lineRule="auto"/>
        <w:ind w:firstLine="425"/>
        <w:jc w:val="both"/>
      </w:pPr>
      <w:r>
        <w:t>Rural Java occupied a strategic position in the New Order development project. Besides functioning as the basis of national food production, villages also became important spaces for the regime’s political consolidation. Through the Green Revolution program and the standardization of village administration under Law No. 5 of 1979, the state strengthened its administrative and political control over villages (Riadi, 2021). These policies brought major changes to the economic and social structure of rural society and at the same time strengthened the role of village elites as intermediaries between the state, capital, and the people.</w:t>
      </w:r>
    </w:p>
    <w:p w14:paraId="34DBBD4D">
      <w:pPr>
        <w:spacing w:after="80" w:line="240" w:lineRule="auto"/>
        <w:ind w:firstLine="425"/>
        <w:jc w:val="both"/>
      </w:pPr>
      <w:r>
        <w:t>The penetration of capitalism into rural Java did not occur evenly. Access to land, agricultural technology, credit, and development programs tended to be concentrated among groups that enjoyed proximity to power. This condition encouraged socio-economic differentiation and produced local elites who controlled both economic resources and village political office. In this context, the village was no longer merely an object of development, but also an arena in which economic and political oligarchy operated at the local level.</w:t>
      </w:r>
    </w:p>
    <w:p w14:paraId="51AB5C25">
      <w:pPr>
        <w:spacing w:after="80" w:line="240" w:lineRule="auto"/>
        <w:ind w:firstLine="425"/>
        <w:jc w:val="both"/>
      </w:pPr>
      <w:r>
        <w:t>So far, studies of New Order oligarchy have largely focused on the relationship between the state and big conglomerates, or on the transformation of oligarchy at the national level after Reformasi. By contrast, studies that specifically place rural society—especially rural Java—as an important space for the formation and reproduction of oligarchy remain relatively limited. Yet understanding oligarchic dynamics in the village is essential for explaining how New Order power operated effectively down to the lowest social layers and how it left structural legacies that continue to endure.</w:t>
      </w:r>
    </w:p>
    <w:p w14:paraId="6482870C">
      <w:pPr>
        <w:spacing w:after="80" w:line="240" w:lineRule="auto"/>
        <w:ind w:firstLine="425"/>
        <w:jc w:val="both"/>
      </w:pPr>
      <w:r>
        <w:t>Based on this gap, this article examines historically the dynamics of capitalism and the formation of economic and political oligarchy in rural Java during the New Order. Using a critical historical approach, the study seeks to show that village oligarchy was not a phenomenon that emerged spontaneously, but rather the result of a historical process shaped by development policy, relations of power, and the penetration of state capitalism. In this way, the article is expected to enrich studies of rural history and contribute to understanding the historical roots of oligarchy in Indonesia.</w:t>
      </w:r>
    </w:p>
    <w:p w14:paraId="07440894">
      <w:pPr>
        <w:spacing w:after="80" w:line="240" w:lineRule="auto"/>
        <w:ind w:firstLine="425"/>
        <w:jc w:val="both"/>
      </w:pPr>
      <w:r>
        <w:t>Accordingly, this research focuses specifically on the New Order period as a crucial phase in the formation and strengthening of economic-political oligarchy in rural Java, placing development policy as the main factor that shaped relations of power at the village level.</w:t>
      </w:r>
    </w:p>
    <w:p w14:paraId="581F3C05">
      <w:pPr>
        <w:spacing w:before="160" w:after="80"/>
        <w:rPr>
          <w:b/>
          <w:bCs/>
          <w:sz w:val="24"/>
          <w:szCs w:val="24"/>
        </w:rPr>
      </w:pPr>
    </w:p>
    <w:p w14:paraId="473F7A92">
      <w:pPr>
        <w:rPr>
          <w:b/>
          <w:bCs/>
          <w:sz w:val="24"/>
          <w:szCs w:val="24"/>
        </w:rPr>
      </w:pPr>
      <w:r>
        <w:rPr>
          <w:b/>
          <w:bCs/>
          <w:sz w:val="24"/>
          <w:szCs w:val="24"/>
        </w:rPr>
        <w:br w:type="page"/>
      </w:r>
    </w:p>
    <w:p w14:paraId="65C6A0CC">
      <w:pPr>
        <w:spacing w:before="160" w:after="80"/>
      </w:pPr>
      <w:r>
        <w:rPr>
          <w:b/>
          <w:bCs/>
          <w:sz w:val="24"/>
          <w:szCs w:val="24"/>
        </w:rPr>
        <w:t>Method</w:t>
      </w:r>
    </w:p>
    <w:p w14:paraId="29C81E23">
      <w:pPr>
        <w:spacing w:after="80" w:line="240" w:lineRule="auto"/>
        <w:ind w:firstLine="425"/>
        <w:jc w:val="both"/>
      </w:pPr>
      <w:r>
        <w:t>This study uses a critical historical approach to reconstruct chronologically and analytically the dynamics of capitalism and political oligarchy in rural Java during the New Order. This approach was chosen because it allows the researcher not only to trace past events, but also to examine the relations of power, political interests, and economic structures that underlay them. The historical method employed follows the five stages formulated by Kuntowijoyo (2005): topic selection, heuristics, verification, interpretation, and historiography.</w:t>
      </w:r>
    </w:p>
    <w:p w14:paraId="75757ED5">
      <w:pPr>
        <w:spacing w:after="80" w:line="240" w:lineRule="auto"/>
        <w:ind w:firstLine="425"/>
        <w:jc w:val="both"/>
      </w:pPr>
      <w:r>
        <w:t>The topic-selection stage was carried out on the basis of historical relevance and academic significance. The theme of rural capitalism and New Order political oligarchy was chosen in order to examine how development and capital penetration shaped power structures in rural Java and affected village communities. The heuristic stage involved the collection of primary and secondary sources. Primary sources consisted of contemporary mass-media reports. Secondary sources were drawn from books, journal articles, and previous studies relevant to the New Order, state capitalism, and rural Java.</w:t>
      </w:r>
    </w:p>
    <w:p w14:paraId="25A2DC18">
      <w:pPr>
        <w:spacing w:after="80" w:line="240" w:lineRule="auto"/>
        <w:ind w:firstLine="425"/>
        <w:jc w:val="both"/>
      </w:pPr>
      <w:r>
        <w:t>The verification stage was undertaken through external and internal criticism in order to assess the authenticity, credibility, and content of the sources. At the interpretation stage, the historical facts were analyzed using critical historical and political-economy perspectives in order to understand the relationship between the state, local elites, and rural society. The final stage, historiography, was realized through an analytical and critical historical narrative capable of explaining the process and impact of capitalism and political oligarchy in rural Java during the New Order.</w:t>
      </w:r>
    </w:p>
    <w:p w14:paraId="54350EDE">
      <w:pPr>
        <w:spacing w:before="160" w:after="80"/>
        <w:rPr>
          <w:b/>
          <w:bCs/>
          <w:sz w:val="24"/>
          <w:szCs w:val="24"/>
        </w:rPr>
      </w:pPr>
      <w:r>
        <w:rPr>
          <w:b/>
          <w:bCs/>
          <w:sz w:val="24"/>
          <w:szCs w:val="24"/>
        </w:rPr>
        <w:t>Results and Discussion</w:t>
      </w:r>
    </w:p>
    <w:p w14:paraId="1BF876AD">
      <w:pPr>
        <w:spacing w:before="120" w:after="80"/>
      </w:pPr>
      <w:r>
        <w:rPr>
          <w:b/>
          <w:sz w:val="22"/>
        </w:rPr>
        <w:t>The Development of Oligarchy in Indonesia</w:t>
      </w:r>
    </w:p>
    <w:p w14:paraId="5375FB9F">
      <w:pPr>
        <w:spacing w:after="80" w:line="240" w:lineRule="auto"/>
        <w:ind w:firstLine="425"/>
        <w:jc w:val="both"/>
      </w:pPr>
      <w:r>
        <w:t>To understand the development of oligarchy in Indonesia, it is first necessary to understand what oligarchy is and how it works. Hadiz and Robison explain in Reorganising Power in Indonesia: The Politics of Oligarchy in an Age of Markets that oligarchy is a system of power relations among a group of people who seek to control economic and political resources for their own interests (Hadiz &amp; Robison, 2004, p. 4). Winters, meanwhile, defines oligarchy as the politics of wealth defense pursued by actors who possess material wealth. Oligarchy may stand alone and rule directly, or it may be embedded within either authoritarian or democratic regimes (Winters, 2013, p. 15).</w:t>
      </w:r>
    </w:p>
    <w:p w14:paraId="2873299F">
      <w:pPr>
        <w:spacing w:after="80" w:line="240" w:lineRule="auto"/>
        <w:ind w:firstLine="425"/>
        <w:jc w:val="both"/>
      </w:pPr>
      <w:r>
        <w:t>Oligarchy has in fact developed in Indonesia for a long time. Its roots may be traced as far back as the colonial era, and even earlier into the seventeenth century. In that period, oligarchy appeared through groups that organized political systems in order to facilitate commercial economic interests. One example can be found in the reign of Iskandar Muda in Aceh, where the government was driven by twelve wealthy men, four of whom held higher standing than the others. These twelve men were known as orang cayo, and after the death of Sultan Iskandar Muda they exercised control over the kingdom (Ardanareswari, 2020).</w:t>
      </w:r>
    </w:p>
    <w:p w14:paraId="0D396935">
      <w:pPr>
        <w:spacing w:after="80" w:line="240" w:lineRule="auto"/>
        <w:ind w:firstLine="425"/>
        <w:jc w:val="both"/>
      </w:pPr>
      <w:r>
        <w:t>Anthony Reid likewise explains that after the fall of Sultan Iskandar Muda, a group exercised control over politics within the Aceh Sultanate. This group encouraged the appointment of women as rulers so that royal authority over trade could be limited, thereby allowing those with commercial power to conduct their international business securely (Reid, 2014, p. 197). This episode may be used as an early indication of how oligarchy entered Indonesian political life as early as the seventeenth century.</w:t>
      </w:r>
    </w:p>
    <w:p w14:paraId="6717C3A2">
      <w:pPr>
        <w:spacing w:after="80" w:line="240" w:lineRule="auto"/>
        <w:ind w:firstLine="425"/>
        <w:jc w:val="both"/>
      </w:pPr>
      <w:r>
        <w:t>Oligarchic practices in Indonesia further developed alongside the growth of capitalism in the Dutch colonial period (Wirayudha, 2020). This can be seen when European entrepreneurs sought land to expand export-crop production. Europeans often began by cooperating with indigenous rulers or local elites in order to facilitate their enterprises. Alicia Schrikker, in the opening chapter of Kupu-Kupu Boven Digoel, describes how groups of Europeans built political and economic networks in Semarang. Through such political and economic strength, Europeans and their associates were able to construct an empire that earned the title of the 'Uncrowned King' of Java (Schrikker &amp; Manullang, 2024, pp. 1–22).</w:t>
      </w:r>
    </w:p>
    <w:p w14:paraId="2ADE5BF4">
      <w:pPr>
        <w:spacing w:after="80" w:line="240" w:lineRule="auto"/>
        <w:ind w:firstLine="425"/>
        <w:jc w:val="both"/>
      </w:pPr>
      <w:r>
        <w:t>These patterns continued after Indonesian independence and reached their peak during the Soeharto era. In this period capitalism displayed its greatest force, and oligarchy became much stronger. This was closely related to Soeharto’s own policies, since he possessed both strong political authority and substantial economic power. As Paul K. Gellert explains, Soeharto was a central actor in the operation of oligarchy. He used his political position to create policies that benefited himself and his cronies in the economic sphere, such as in the timber business that flourished at the time (Gellert, 2005, p. 147). Over his thirty-two years in office, the New Order also produced new elites who would later inherit and continue oligarchic practices in Indonesia.</w:t>
      </w:r>
    </w:p>
    <w:p w14:paraId="288B7C21">
      <w:pPr>
        <w:spacing w:after="80" w:line="240" w:lineRule="auto"/>
        <w:ind w:firstLine="425"/>
        <w:jc w:val="both"/>
      </w:pPr>
      <w:r>
        <w:t>After Soeharto stepped down and Indonesia entered the Reformasi era, many people assumed that oligarchy had ended. This expectation was rooted in the belief that the principal actor had fallen and that new policies would emerge. In reality, however, Reformasi did not immediately break from earlier patterns. Instead, the era was often seen as another center of oligarchic development, partly because political leadership lacked sufficient strength and firmness, especially during the presidency of Susilo Bambang Yudhoyono, when inequality became increasingly visible.</w:t>
      </w:r>
    </w:p>
    <w:p w14:paraId="185D6F7D">
      <w:pPr>
        <w:spacing w:before="120" w:after="80"/>
      </w:pPr>
      <w:r>
        <w:rPr>
          <w:b/>
          <w:sz w:val="22"/>
        </w:rPr>
        <w:t>Bekel, Village Heads, and the State: The Evolution of Village Power in Java</w:t>
      </w:r>
    </w:p>
    <w:p w14:paraId="253F5B34">
      <w:pPr>
        <w:spacing w:after="80" w:line="240" w:lineRule="auto"/>
        <w:ind w:firstLine="425"/>
        <w:jc w:val="both"/>
      </w:pPr>
      <w:r>
        <w:t>The long history of rural Java is an especially interesting spatial field of study, particularly in the domains of politics and economics. Both fields contain many events that remain relevant today. Before moving further into the history of rural Java, it is important to understand what is meant by a village. According to Law No. 6 of 2014, a village is a territorial community unit authorized to regulate and manage governmental affairs and the interests of the local community on the basis of community initiative, origin rights, and traditional rights recognized and respected within the governmental system of the Republic of Indonesia (Government of Indonesia, 2014). As a local unit authorized to manage its own affairs, the village has its own governmental system led by a village head or lurah, and these offices play an important role in determining whether a village succeeds or not.</w:t>
      </w:r>
    </w:p>
    <w:p w14:paraId="09C59742">
      <w:pPr>
        <w:spacing w:after="80" w:line="240" w:lineRule="auto"/>
        <w:ind w:firstLine="425"/>
        <w:jc w:val="both"/>
      </w:pPr>
      <w:r>
        <w:t>The village political system today cannot be separated from the long history of rural life in Indonesia. Historically, village political systems have been diverse, because each region has had its own particular characteristics, especially in the selection of village heads. Outside Java, village government often emerged on the basis of blood ties or genealogy (Pranoto, 2000, p. 18). In such cases, villages were formed under customary leaders whose legitimacy was hereditary. In Java, by contrast, village government in the pre-colonial period was more often formed through elections, shaped by local interests; therefore, the selection process was based less on family or custom than on direct choice (Rahardjo, 1999, p. 161).</w:t>
      </w:r>
    </w:p>
    <w:p w14:paraId="30C71223">
      <w:pPr>
        <w:spacing w:after="80" w:line="240" w:lineRule="auto"/>
        <w:ind w:firstLine="425"/>
        <w:jc w:val="both"/>
      </w:pPr>
      <w:r>
        <w:t>In the pre-colonial period, villages formed part of larger kingdoms. As the highest level in the feudal order, the kingdom possessed domains of power in the form of lands owned by royal relatives, known as tanah lungguh. These lands functioned as sources of tax revenue. In practice, lungguh lands were managed by royal appointees and then entrusted to a bekel. In the royal era, the bekel was responsible for collecting taxes from cultivators and also maintaining security over the land (Haryanto, 1997).</w:t>
      </w:r>
    </w:p>
    <w:p w14:paraId="2246B536">
      <w:pPr>
        <w:spacing w:after="80" w:line="240" w:lineRule="auto"/>
        <w:ind w:firstLine="425"/>
        <w:jc w:val="both"/>
      </w:pPr>
      <w:r>
        <w:t>During colonial agrarian reorganization, the bekel acquired additional duties. No longer limited to managing land and mobilizing labor, the bekel was burdened with administrative responsibilities as well. In this sense, the bekel became the forerunner of the village head or lurah in Javanese rural history (Padmo, 1998, p. 74). Through such policies, the village became the spearhead of colonial government in implementing exploitation. The colonial state later introduced village regulations through the Regerings Reglement of 1854, which stipulated that village heads were to be elected directly by the people. At the same time, lurah or village heads were mandated by the colonial government to manage village households while observing rules established by the bupati and resident (Sos, 2006, p. 19). In the early twentieth century, the colonial government revised this arrangement by issuing the Inlandsche Gemeente Ordonantie, which applied specifically to villages in Java and Madura (Sos, 2006, p. 18).</w:t>
      </w:r>
    </w:p>
    <w:p w14:paraId="101F0670">
      <w:pPr>
        <w:spacing w:after="80" w:line="240" w:lineRule="auto"/>
        <w:ind w:firstLine="425"/>
        <w:jc w:val="both"/>
      </w:pPr>
      <w:r>
        <w:t>Colonial regulations continued to shape village governance after independence. In 1948 the government issued Law No. 22 of 1948, which provided for administrative divisions that included villages with the right to regulate and manage their own households. This law was intended as a critique of previous colonial regulations. Village regulation continued in 1954 with the formation of the Commissariat for Autonomous Regions. Its chairman, Sutardjo Kartohadikoesoemo, hoped to return the village concept to arrangements that had existed before the IGO regulation. At the end of Soekarno’s rule, the government issued Law No. 19 of 1965, which granted villages the right to choose their heads and possess their own property. This law, however, was never fully implemented because of political instability at the center and the transition of power (Riadi, 2021).</w:t>
      </w:r>
    </w:p>
    <w:p w14:paraId="48DB102D">
      <w:pPr>
        <w:spacing w:after="80" w:line="240" w:lineRule="auto"/>
        <w:ind w:firstLine="425"/>
        <w:jc w:val="both"/>
      </w:pPr>
      <w:r>
        <w:t>During the New Order, village politics was brought fully under central government control. Through Law No. 5 of 1979 on village government, villages throughout Indonesia were standardized according to the Javanese model (Government of Indonesia, 1979; Riadi, 2021). This produced major disruption in village social and political life. New Order centralization was used as a political instrument by Soeharto, who understood the strategic importance of villages in both politics and economics. Politically, villages became the spearhead of regime campaigns and the standardization of thought concerning government programs. One example was the 'Televisi Masuk Desa' program, through which the government sought to ensure that development messages reached village communities (Aryono, 2021). Under these conditions, villages lost control over their own territories and communities, and village governments became passive administrative instruments.</w:t>
      </w:r>
    </w:p>
    <w:p w14:paraId="534E2D10">
      <w:pPr>
        <w:spacing w:after="80" w:line="240" w:lineRule="auto"/>
        <w:ind w:firstLine="425"/>
        <w:jc w:val="both"/>
      </w:pPr>
      <w:r>
        <w:t>Only after Soeharto’s fall and the transition to Reformasi did villages gradually recover some of their rights to regulate and manage local government. In 1999 the government issued Law No. 22 of 1999 (Syamsu, 2008, p. 78). Through this legislation, the centralized system of government was dismantled and decentralization began. Village governments once again obtained rights to administer village affairs and to benefit economically from village treasury land.</w:t>
      </w:r>
    </w:p>
    <w:p w14:paraId="792F3E88">
      <w:pPr>
        <w:spacing w:before="120" w:after="80"/>
      </w:pPr>
      <w:r>
        <w:rPr>
          <w:b/>
          <w:sz w:val="22"/>
        </w:rPr>
        <w:t>Villages under the Grip of Development: Local Oligarchy during the New Order</w:t>
      </w:r>
    </w:p>
    <w:p w14:paraId="190FC1DC">
      <w:pPr>
        <w:spacing w:after="80" w:line="240" w:lineRule="auto"/>
        <w:ind w:firstLine="425"/>
        <w:jc w:val="both"/>
      </w:pPr>
      <w:r>
        <w:t>Since the Dutch colonial era, villages had played important roles in political and economic processes. This can be seen in the establishment of local-level governments charged with managing administration and cultivating lands belonging either to kings or to the colonial state. Economically, villages also served as buffers for food needs and as sources of tax revenue for the colonial government. The entry of capitalism in the colonial period formed the early basis for oligarchic politics in rural Java. It was marked by the emergence of local village elites who were used by the colonial government as the front line in dealing with society, from taxation to land leasing (Sos, 2006, p. 17).</w:t>
      </w:r>
    </w:p>
    <w:p w14:paraId="02E0A0F9">
      <w:pPr>
        <w:spacing w:after="80" w:line="240" w:lineRule="auto"/>
        <w:ind w:firstLine="425"/>
        <w:jc w:val="both"/>
      </w:pPr>
      <w:r>
        <w:t>These processes continued through the Soekarno era and reached their peak under Soeharto. During the New Order, one of the central development concepts was the Green Revolution. This concept spread across countries considered still developing, including those in Southeast Asia and Africa. Soeharto adopted the Green Revolution with a specific focus on food crops, especially rice. Through his authoritarian policies, Soeharto succeeded in pushing the Indonesian economy to a peak. Hal Hill explains that an important factor behind Indonesia’s success in the Green Revolution was a long-term policy focus on increasing food-crop production, particularly rice. Soeharto argued that food sufficiency would create national stability. On that basis, he established organizations such as Bimas (mass guidance) and Bulog, eventually enabling Indonesia to achieve rice self-sufficiency (Hill, 1996, p. 129).</w:t>
      </w:r>
    </w:p>
    <w:p w14:paraId="7E33EFB7">
      <w:pPr>
        <w:spacing w:after="80" w:line="240" w:lineRule="auto"/>
        <w:ind w:firstLine="425"/>
        <w:jc w:val="both"/>
      </w:pPr>
      <w:r>
        <w:t>Not stopping there, Soeharto’s development plans eventually extended beyond rice to other crops considered to have high economic value, such as tea and coffee. Indonesia also expanded through the opening of land for oil-palm cultivation, which became another important sector in the broader development agenda. Through these programs, oligarchy developed rapidly from the central level down to the local level. At its peak stood Soeharto himself as the holder of political power and considerable economic capital. One example was the policy to create an industrial zone in Karawang, West Java, an area that had previously been an important rice-producing region during the self-sufficiency program. In the process of shifting from an agrarian to an industrial sector, land speculators played an important role in acquiring land from peasants at low prices. After that, the government issued Presidential Decree No. 53 of 1989 on industrial-zone development in Karawang Regency (Janti, 2021).</w:t>
      </w:r>
    </w:p>
    <w:p w14:paraId="411FC4FC">
      <w:pPr>
        <w:spacing w:after="80" w:line="240" w:lineRule="auto"/>
        <w:ind w:firstLine="425"/>
        <w:jc w:val="both"/>
      </w:pPr>
      <w:r>
        <w:t>Another clearly visible oligarchic pattern in the New Order appeared in the timber business of the 1990s, when Soeharto and his cronies built major business networks. Through forestry law and related policies, Soeharto opened space for commercial exploitation and then involved his associates in marketing. On the ground, military actors were also mobilized to secure such activities in villages located within timber-production areas (Government of Indonesia, 1967; Gellert, 2005).</w:t>
      </w:r>
    </w:p>
    <w:p w14:paraId="6E0340A0">
      <w:pPr>
        <w:spacing w:after="80" w:line="240" w:lineRule="auto"/>
        <w:ind w:firstLine="425"/>
        <w:jc w:val="both"/>
      </w:pPr>
      <w:r>
        <w:t>This local-level oligarchic pattern continued in the context of village-head elections. In these elections, oligarchic actors began to operate through money politics as a strategy to influence village policy according to their interests. During Reformasi, policies such as redistricting or regional partition were expected to decentralize government and improve administrative efficiency. Yet these policies also remained tied to the interests of urban elite groups. In order to preserve businesses that had spread into many regions of Indonesia, oligarchs who had become powerful during the New Order sought various ways to maintain control (Agustino, 2010, p. 16).</w:t>
      </w:r>
    </w:p>
    <w:p w14:paraId="49EF604C">
      <w:pPr>
        <w:spacing w:after="80" w:line="240" w:lineRule="auto"/>
        <w:ind w:firstLine="425"/>
        <w:jc w:val="both"/>
      </w:pPr>
      <w:r>
        <w:t>In protecting their business interests in rural areas, oligarchs employed several strategies, one of which involved the village-head election process. In practice, oligarchs frequently cooperated with particular candidates. This occurred partly because democracy in Indonesia after the New Order became very expensive. Candidates for regional head and village head alike had to possess sufficient funds for campaigning. Previously, village heads were often selected with reference to mystical signs and rituals to obtain pulung. Over time, however, village-head elections came to be shaped less by spiritual legitimacy and more by material power. As a result, village-head elections became another arena through which elites or oligarchs could preserve their interests (Martha, 2020, p. 63). Thus, oligarchy not only developed strongly in the central government, but also took root at the local governmental level, namely the village.</w:t>
      </w:r>
    </w:p>
    <w:p w14:paraId="407881B0">
      <w:pPr>
        <w:keepNext w:val="0"/>
        <w:keepLines w:val="0"/>
        <w:pageBreakBefore w:val="0"/>
        <w:widowControl/>
        <w:kinsoku/>
        <w:wordWrap/>
        <w:overflowPunct/>
        <w:topLinePunct w:val="0"/>
        <w:autoSpaceDE/>
        <w:autoSpaceDN/>
        <w:bidi w:val="0"/>
        <w:adjustRightInd/>
        <w:snapToGrid/>
        <w:spacing w:after="0"/>
        <w:textAlignment w:val="auto"/>
        <w:rPr>
          <w:b/>
          <w:bCs/>
          <w:sz w:val="24"/>
          <w:szCs w:val="24"/>
        </w:rPr>
      </w:pPr>
      <w:r>
        <w:rPr>
          <w:b/>
          <w:bCs/>
          <w:sz w:val="24"/>
          <w:szCs w:val="24"/>
        </w:rPr>
        <w:t>Conclusion</w:t>
      </w:r>
    </w:p>
    <w:p w14:paraId="789C2705">
      <w:pPr>
        <w:spacing w:after="80" w:line="240" w:lineRule="auto"/>
        <w:ind w:firstLine="425"/>
        <w:jc w:val="both"/>
      </w:pPr>
      <w:r>
        <w:t>The concept of oligarchy that has once again become prominent today in fact has a long historical trajectory in Indonesia. Oligarchy grew alongside the entry of capitalism introduced by colonial powers. With the development of capitalism, trade and business were increasingly directed toward large-scale production with costs minimized as much as possible. For that reason, capitalists formed circles of mutual connection in order to facilitate the businesses they controlled.</w:t>
      </w:r>
    </w:p>
    <w:p w14:paraId="72327E84">
      <w:pPr>
        <w:spacing w:after="80" w:line="240" w:lineRule="auto"/>
        <w:ind w:firstLine="425"/>
        <w:jc w:val="both"/>
      </w:pPr>
      <w:r>
        <w:t>These developments continued over time, and the beginning as well as the peak of oligarchy came during the New Order and Reformasi. The New Order may be regarded as the starting point of modern oligarchy because of the existence of a particularly powerful oligarchic actor, namely Soeharto, who stood at its apex. The centralized political system made it easier for Soeharto to run the various businesses he controlled. By producing policies and cooperating with his cronies, he ensured that those businesses could run smoothly.</w:t>
      </w:r>
    </w:p>
    <w:p w14:paraId="70EDEC1C">
      <w:pPr>
        <w:spacing w:after="80" w:line="240" w:lineRule="auto"/>
        <w:ind w:firstLine="425"/>
        <w:jc w:val="both"/>
      </w:pPr>
      <w:r>
        <w:t>During Reformasi, the oligarchic circle that many had expected to disappear with the collapse of the New Order did not in fact vanish. Oligarchs became even more vocal in influencing many elements of political and social life, including at the local level. Villages as the most basic unit of government did not escape their grasp. Village-head elections, which had previously been viewed through the lens of local mysticism, gradually shifted toward materialist logic. As a result, the cost of becoming a village head, which had once been relatively small, came to resemble the scale of elections at the regency or provincial level. This process shows that oligarchic power also shaped democratic practices in local government, especially in the village.</w:t>
      </w:r>
    </w:p>
    <w:p w14:paraId="517F976B">
      <w:pPr>
        <w:keepNext w:val="0"/>
        <w:keepLines w:val="0"/>
        <w:pageBreakBefore w:val="0"/>
        <w:widowControl/>
        <w:kinsoku/>
        <w:wordWrap/>
        <w:overflowPunct/>
        <w:topLinePunct w:val="0"/>
        <w:autoSpaceDE/>
        <w:autoSpaceDN/>
        <w:bidi w:val="0"/>
        <w:adjustRightInd/>
        <w:snapToGrid/>
        <w:spacing w:after="0"/>
        <w:textAlignment w:val="auto"/>
        <w:rPr>
          <w:b/>
          <w:bCs/>
          <w:sz w:val="24"/>
          <w:szCs w:val="24"/>
        </w:rPr>
      </w:pPr>
      <w:r>
        <w:rPr>
          <w:b/>
          <w:bCs/>
          <w:sz w:val="24"/>
          <w:szCs w:val="24"/>
        </w:rPr>
        <w:t>References</w:t>
      </w:r>
    </w:p>
    <w:p w14:paraId="220B6CC8">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Agustino, L. (2010). Pilkada dan redistricting: Dinamika politik lokal dalam politik Indonesia yang terdemokrasi. Jurnal Pamong Praja, Edisi 16.</w:t>
      </w:r>
    </w:p>
    <w:p w14:paraId="51C92176">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Ardanareswari, I. (2020, August 7). Jejak oligarki para saudagar di kerajaan Asia Tenggara pra-modern. Tirto.id.</w:t>
      </w:r>
    </w:p>
    <w:p w14:paraId="7FB878B1">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Aryono. (2021, June 25). Televisi masuk desa. Historia.id.</w:t>
      </w:r>
    </w:p>
    <w:p w14:paraId="6298B060">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Bali Post. (1997, May 17).</w:t>
      </w:r>
    </w:p>
    <w:p w14:paraId="4BCFC8C2">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Government of Indonesia. (1967). Undang-Undang Republik Indonesia Nomor 5 Tahun 1967 tentang Ketentuan-Ketentuan Pokok Kehutanan.</w:t>
      </w:r>
    </w:p>
    <w:p w14:paraId="208A4DC7">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Government of Indonesia. (1979). Undang-Undang Republik Indonesia Nomor 5 Tahun 1979 tentang Pemerintahan Desa.</w:t>
      </w:r>
    </w:p>
    <w:p w14:paraId="3C19EC10">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Government of Indonesia. (2014). Undang-Undang Republik Indonesia Nomor 6 Tahun 2014 tentang Desa.</w:t>
      </w:r>
    </w:p>
    <w:p w14:paraId="49C24D25">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Gellert, P. K. (2005). Oligarchy in the timber markets of Indonesia: From Apkindo to IBRA to the future of the forests. In The politics and economics of Indonesia’s natural resources (pp. 145–161).</w:t>
      </w:r>
    </w:p>
    <w:p w14:paraId="7D31B690">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Hadiz, V. R., &amp; Robison, R. (2004). Reorganising power in Indonesia: The politics of oligarchy in an age of markets. Routledge.</w:t>
      </w:r>
    </w:p>
    <w:p w14:paraId="0A2043BE">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Haryanto. (1997). Faktor-faktor yang mempengaruhi proses pemilihan kepala desa di Kabupaten Sleman. Universitas Gadjah Mada.</w:t>
      </w:r>
    </w:p>
    <w:p w14:paraId="32CCB1C8">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Hill, H. (1996). The Indonesian economy since 1966: Southeast Asia’s emerging giant. Cambridge University Press.</w:t>
      </w:r>
    </w:p>
    <w:p w14:paraId="6E6CC642">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Janti, N. (2021, June 26). Lumbung padi yang menjadi kawasan industri. Historia.id.</w:t>
      </w:r>
    </w:p>
    <w:p w14:paraId="45591A05">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Kuntowijoyo. (2005). Pengantar ilmu sejarah. Bentang Pustaka.</w:t>
      </w:r>
    </w:p>
    <w:p w14:paraId="6C42B55B">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Martha, N. K. (2020). Derajat demokratisasi desa di Indonesia. Madani Jurnal Politik dan Sosial Kemasyarakatan, 12(1), 61–73.</w:t>
      </w:r>
    </w:p>
    <w:p w14:paraId="347AB83C">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Padmo, S. (1998). Reorganisasi agraria di Surakarta pada 1918 dan akibatnya terhadap petani dan perusahaan Belanda. Humaniora, 8.</w:t>
      </w:r>
    </w:p>
    <w:p w14:paraId="52170912">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Pranoto, S. W. (2000). Parlemen desa: Dinamika DPR kalurahan dan DPRK-gotong royong. Lapera Pustaka Utama.</w:t>
      </w:r>
    </w:p>
    <w:p w14:paraId="59BB176E">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Rahardjo. (1999). Pengantar sosiologi pedesaan dan pertanian. Gadjah Mada University Press.</w:t>
      </w:r>
    </w:p>
    <w:p w14:paraId="70F456B8">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Reid, A. (2014). Asia Tenggara dalam kurun niaga 1450–1680 (Vol. 1, 3rd ed.). Yayasan Pustaka Obor Indonesia.</w:t>
      </w:r>
    </w:p>
    <w:p w14:paraId="7D19D4D1">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Riadi, F. (2021, June 25). Geliat negara mengatur desa. Historia.id.</w:t>
      </w:r>
    </w:p>
    <w:p w14:paraId="14AF715C">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Robison, R. (1986). Indonesia: The rise of capital. Allen &amp; Unwin.</w:t>
      </w:r>
    </w:p>
    <w:p w14:paraId="6CE3595C">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Schrikker, A. F., &amp; Manullang, R. D. (2024). Kupu-Kupu Boven Digoel: Kumpulan pergulatan hidup manusia di pinggiran kolonialisme.</w:t>
      </w:r>
    </w:p>
    <w:p w14:paraId="4411E274">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Sos, M. S. (2006). Pemilihan kepala desa sebagai acuan empiris pemilihan kepala daerah dan wakil kepala daerah secara langsung (ditinjau dari perspektif historis).</w:t>
      </w:r>
    </w:p>
    <w:p w14:paraId="20D54B3E">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Syamsu, S. (2008). Memahami perkembangan desa di Indonesia. Jurnal Administrasi dan Kebijakan Kesehatan Indonesia, 1(1), 77–88.</w:t>
      </w:r>
    </w:p>
    <w:p w14:paraId="634BE7DA">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Wirayudha, R. (2020, November 5). Oligarki zaman kuda gigit besi hingga era Jokowi. Historia.id.</w:t>
      </w:r>
    </w:p>
    <w:p w14:paraId="62146834">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pPr>
      <w:r>
        <w:t>Winters, J. A. (2013). Oligarchy and democracy in Indonesia. Indonesia, 96, 11–33.</w:t>
      </w:r>
    </w:p>
    <w:p w14:paraId="7FF4A040">
      <w:pPr>
        <w:keepNext w:val="0"/>
        <w:keepLines w:val="0"/>
        <w:pageBreakBefore w:val="0"/>
        <w:widowControl/>
        <w:kinsoku/>
        <w:wordWrap/>
        <w:overflowPunct/>
        <w:topLinePunct w:val="0"/>
        <w:autoSpaceDE/>
        <w:autoSpaceDN/>
        <w:bidi w:val="0"/>
        <w:adjustRightInd/>
        <w:snapToGrid/>
        <w:spacing w:before="0" w:after="120" w:line="240" w:lineRule="auto"/>
        <w:ind w:left="440" w:leftChars="0" w:hanging="440" w:hangingChars="200"/>
        <w:jc w:val="both"/>
        <w:textAlignment w:val="auto"/>
        <w:rPr>
          <w:rFonts w:hint="default"/>
          <w:lang w:val="en-US"/>
        </w:rPr>
      </w:pPr>
      <w:r>
        <w:t>Winters, J. A. (2014). Oligarchy and democracy in Indonesia. In M. Ford &amp; T. B. Pepinsky (Eds.), Wealth, power, and contemporary Indonesian politics (pp. 11–34). Cornell University</w:t>
      </w:r>
      <w:bookmarkStart w:id="0" w:name="_GoBack"/>
      <w:bookmarkEnd w:id="0"/>
      <w:r>
        <w:t xml:space="preserve"> Press. </w:t>
      </w:r>
      <w:r>
        <w:fldChar w:fldCharType="begin"/>
      </w:r>
      <w:r>
        <w:instrText xml:space="preserve"> HYPERLINK "https://doi.org/10.7591/9781501719158-004" </w:instrText>
      </w:r>
      <w:r>
        <w:fldChar w:fldCharType="separate"/>
      </w:r>
      <w:r>
        <w:rPr>
          <w:rStyle w:val="20"/>
        </w:rPr>
        <w:t>https://doi.org/10.7591/9781501719158-004</w:t>
      </w:r>
      <w:r>
        <w:fldChar w:fldCharType="end"/>
      </w:r>
      <w:r>
        <w:rPr>
          <w:rFonts w:hint="default"/>
          <w:lang w:val="en-US"/>
        </w:rPr>
        <w:t xml:space="preserve"> </w:t>
      </w:r>
    </w:p>
    <w:sectPr>
      <w:headerReference r:id="rId6" w:type="first"/>
      <w:footerReference r:id="rId8" w:type="first"/>
      <w:headerReference r:id="rId5" w:type="default"/>
      <w:footerReference r:id="rId7" w:type="default"/>
      <w:pgSz w:w="11906" w:h="16838"/>
      <w:pgMar w:top="1701" w:right="1701" w:bottom="1701" w:left="1701" w:header="720" w:footer="720" w:gutter="0"/>
      <w:pgNumType w:fmt="decimal" w:start="69"/>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B1F2">
    <w:pPr>
      <w:rPr>
        <w:sz w:val="22"/>
        <w:szCs w:val="22"/>
      </w:rPr>
    </w:pPr>
    <w:r>
      <w:rPr>
        <w:rFonts w:ascii="Times New Roman" w:hAnsi="Times New Roman"/>
        <w:sz w:val="22"/>
        <w:szCs w:val="22"/>
      </w:rPr>
      <w:t xml:space="preserve">Shodiq, </w:t>
    </w:r>
    <w:r>
      <w:rPr>
        <w:rFonts w:ascii="Times New Roman" w:hAnsi="Times New Roman"/>
        <w:i/>
        <w:sz w:val="22"/>
        <w:szCs w:val="22"/>
      </w:rPr>
      <w:t>et al.</w:t>
    </w:r>
    <w:r>
      <w:rPr>
        <w:sz w:val="22"/>
        <w:szCs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Kotak Teks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3B978">
                          <w:pPr>
                            <w:jc w:val="right"/>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F1Q9&#10;FCYCAABiBAAADgAAAAAAAAABACAAAAAfAQAAZHJzL2Uyb0RvYy54bWxQSwUGAAAAAAYABgBZAQAA&#10;twUAAAAA&#10;">
              <v:fill on="f" focussize="0,0"/>
              <v:stroke on="f" weight="0.5pt"/>
              <v:imagedata o:title=""/>
              <o:lock v:ext="edit" aspectratio="f"/>
              <v:textbox inset="0mm,0mm,0mm,0mm" style="mso-fit-shape-to-text:t;">
                <w:txbxContent>
                  <w:p w14:paraId="22A3B978">
                    <w:pPr>
                      <w:jc w:val="right"/>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F3FA">
    <w:pPr>
      <w:pStyle w:val="18"/>
      <w:jc w:val="left"/>
    </w:pPr>
    <w:r>
      <w:drawing>
        <wp:inline distT="0" distB="0" distL="114300" distR="114300">
          <wp:extent cx="575945" cy="202565"/>
          <wp:effectExtent l="0" t="0" r="31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76000" cy="202909"/>
                  </a:xfrm>
                  <a:prstGeom prst="rect">
                    <a:avLst/>
                  </a:prstGeom>
                </pic:spPr>
              </pic:pic>
            </a:graphicData>
          </a:graphic>
        </wp:inline>
      </w:drawing>
    </w:r>
    <w:r>
      <w:rPr>
        <w:sz w:val="18"/>
      </w:rPr>
      <w:t xml:space="preserve"> </w:t>
    </w:r>
    <w:r>
      <w:rPr>
        <w:rFonts w:hint="default"/>
        <w:sz w:val="18"/>
      </w:rPr>
      <w:t>© 20</w:t>
    </w:r>
    <w:r>
      <w:rPr>
        <w:rFonts w:hint="default"/>
        <w:sz w:val="18"/>
        <w:lang w:val="en-US"/>
      </w:rPr>
      <w:t>26</w:t>
    </w:r>
    <w:r>
      <w:rPr>
        <w:rFonts w:hint="default"/>
        <w:sz w:val="18"/>
      </w:rPr>
      <w:t xml:space="preserve"> The Author(s). This article is licensed under CC BY-SA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4320">
    <w:pPr>
      <w:pStyle w:val="19"/>
      <w:jc w:val="center"/>
      <w:rPr>
        <w:rFonts w:hint="default"/>
        <w:lang w:val="en-US"/>
      </w:rPr>
    </w:pPr>
    <w:r>
      <w:t>Yupa: Historical Studies Journal, Vol. 10, No. 1, 2026, pp. 69–7</w:t>
    </w:r>
    <w:r>
      <w:rPr>
        <w:rFonts w:hint="default"/>
        <w:lang w:val="en-US"/>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AF2A">
    <w:pPr>
      <w:pStyle w:val="19"/>
      <w:jc w:val="center"/>
    </w:pPr>
    <w:r>
      <w:drawing>
        <wp:inline distT="0" distB="0" distL="114300" distR="114300">
          <wp:extent cx="1767205" cy="975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clrChange>
                      <a:clrFrom>
                        <a:srgbClr val="F7F7F7">
                          <a:alpha val="100000"/>
                        </a:srgbClr>
                      </a:clrFrom>
                      <a:clrTo>
                        <a:srgbClr val="F7F7F7">
                          <a:alpha val="100000"/>
                          <a:alpha val="0"/>
                        </a:srgbClr>
                      </a:clrTo>
                    </a:clrChange>
                  </a:blip>
                  <a:srcRect l="19351" t="33808" r="21059" b="33295"/>
                  <a:stretch>
                    <a:fillRect/>
                  </a:stretch>
                </pic:blipFill>
                <pic:spPr>
                  <a:xfrm>
                    <a:off x="0" y="0"/>
                    <a:ext cx="1767205" cy="9759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3409C2"/>
    <w:rsid w:val="02E01C47"/>
    <w:rsid w:val="045C7227"/>
    <w:rsid w:val="0C323CC8"/>
    <w:rsid w:val="0CAC2B9A"/>
    <w:rsid w:val="116A1DC8"/>
    <w:rsid w:val="1488346E"/>
    <w:rsid w:val="14A94526"/>
    <w:rsid w:val="18A46E1B"/>
    <w:rsid w:val="20FD4935"/>
    <w:rsid w:val="24975A86"/>
    <w:rsid w:val="24A7216D"/>
    <w:rsid w:val="275C0CDB"/>
    <w:rsid w:val="2DD6761F"/>
    <w:rsid w:val="2EDB1789"/>
    <w:rsid w:val="3423413A"/>
    <w:rsid w:val="34C44675"/>
    <w:rsid w:val="34F24292"/>
    <w:rsid w:val="35ED10F0"/>
    <w:rsid w:val="3DD10B29"/>
    <w:rsid w:val="3F9C0670"/>
    <w:rsid w:val="4AAE12AF"/>
    <w:rsid w:val="4D9526FE"/>
    <w:rsid w:val="55CA111E"/>
    <w:rsid w:val="584C470E"/>
    <w:rsid w:val="5C6D01F8"/>
    <w:rsid w:val="602D6CC3"/>
    <w:rsid w:val="616B7AA3"/>
    <w:rsid w:val="6C611966"/>
    <w:rsid w:val="6FF62C2D"/>
    <w:rsid w:val="72514A93"/>
    <w:rsid w:val="749D2EC8"/>
    <w:rsid w:val="75EE3ABE"/>
    <w:rsid w:val="77ED3AD9"/>
    <w:rsid w:val="79D47BB1"/>
    <w:rsid w:val="7B7F7F7B"/>
    <w:rsid w:val="7DCB1D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character" w:styleId="20">
    <w:name w:val="Hyperlink"/>
    <w:basedOn w:val="11"/>
    <w:semiHidden/>
    <w:unhideWhenUsed/>
    <w:qFormat/>
    <w:uiPriority w:val="99"/>
    <w:rPr>
      <w:color w:val="0000FF"/>
      <w:u w:val="single"/>
    </w:rPr>
  </w:style>
  <w:style w:type="paragraph" w:styleId="21">
    <w:name w:val="List"/>
    <w:basedOn w:val="1"/>
    <w:unhideWhenUsed/>
    <w:qFormat/>
    <w:uiPriority w:val="99"/>
    <w:pPr>
      <w:ind w:left="360" w:hanging="360"/>
      <w:contextualSpacing/>
    </w:pPr>
  </w:style>
  <w:style w:type="paragraph" w:styleId="22">
    <w:name w:val="List 2"/>
    <w:basedOn w:val="1"/>
    <w:unhideWhenUsed/>
    <w:qFormat/>
    <w:uiPriority w:val="99"/>
    <w:pPr>
      <w:ind w:left="720" w:hanging="360"/>
      <w:contextualSpacing/>
    </w:pPr>
  </w:style>
  <w:style w:type="paragraph" w:styleId="23">
    <w:name w:val="List 3"/>
    <w:basedOn w:val="1"/>
    <w:unhideWhenUsed/>
    <w:qFormat/>
    <w:uiPriority w:val="99"/>
    <w:pPr>
      <w:ind w:left="1080" w:hanging="360"/>
      <w:contextualSpacing/>
    </w:pPr>
  </w:style>
  <w:style w:type="paragraph" w:styleId="24">
    <w:name w:val="List Bullet"/>
    <w:basedOn w:val="1"/>
    <w:unhideWhenUsed/>
    <w:qFormat/>
    <w:uiPriority w:val="99"/>
    <w:pPr>
      <w:numPr>
        <w:ilvl w:val="0"/>
        <w:numId w:val="1"/>
      </w:numPr>
      <w:contextualSpacing/>
    </w:pPr>
  </w:style>
  <w:style w:type="paragraph" w:styleId="25">
    <w:name w:val="List Bullet 2"/>
    <w:basedOn w:val="1"/>
    <w:unhideWhenUsed/>
    <w:qFormat/>
    <w:uiPriority w:val="99"/>
    <w:pPr>
      <w:numPr>
        <w:ilvl w:val="0"/>
        <w:numId w:val="2"/>
      </w:numPr>
      <w:contextualSpacing/>
    </w:pPr>
  </w:style>
  <w:style w:type="paragraph" w:styleId="26">
    <w:name w:val="List Bullet 3"/>
    <w:basedOn w:val="1"/>
    <w:unhideWhenUsed/>
    <w:qFormat/>
    <w:uiPriority w:val="99"/>
    <w:pPr>
      <w:numPr>
        <w:ilvl w:val="0"/>
        <w:numId w:val="3"/>
      </w:numPr>
      <w:contextualSpacing/>
    </w:pPr>
  </w:style>
  <w:style w:type="paragraph" w:styleId="27">
    <w:name w:val="List Continue"/>
    <w:basedOn w:val="1"/>
    <w:unhideWhenUsed/>
    <w:qFormat/>
    <w:uiPriority w:val="99"/>
    <w:pPr>
      <w:spacing w:after="120"/>
      <w:ind w:left="360"/>
      <w:contextualSpacing/>
    </w:pPr>
  </w:style>
  <w:style w:type="paragraph" w:styleId="28">
    <w:name w:val="List Continue 2"/>
    <w:basedOn w:val="1"/>
    <w:unhideWhenUsed/>
    <w:qFormat/>
    <w:uiPriority w:val="99"/>
    <w:pPr>
      <w:spacing w:after="120"/>
      <w:ind w:left="720"/>
      <w:contextualSpacing/>
    </w:pPr>
  </w:style>
  <w:style w:type="paragraph" w:styleId="29">
    <w:name w:val="List Continue 3"/>
    <w:basedOn w:val="1"/>
    <w:unhideWhenUsed/>
    <w:qFormat/>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qFormat/>
    <w:uiPriority w:val="99"/>
    <w:pPr>
      <w:numPr>
        <w:ilvl w:val="0"/>
        <w:numId w:val="5"/>
      </w:numPr>
      <w:contextualSpacing/>
    </w:pPr>
  </w:style>
  <w:style w:type="paragraph" w:styleId="32">
    <w:name w:val="List Number 3"/>
    <w:basedOn w:val="1"/>
    <w:unhideWhenUsed/>
    <w:qFormat/>
    <w:uiPriority w:val="99"/>
    <w:pPr>
      <w:numPr>
        <w:ilvl w:val="0"/>
        <w:numId w:val="6"/>
      </w:numPr>
      <w:contextualSpacing/>
    </w:pPr>
  </w:style>
  <w:style w:type="paragraph" w:styleId="3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3903</Words>
  <Characters>22656</Characters>
  <Lines>0</Lines>
  <Paragraphs>0</Paragraphs>
  <TotalTime>0</TotalTime>
  <ScaleCrop>false</ScaleCrop>
  <LinksUpToDate>false</LinksUpToDate>
  <CharactersWithSpaces>26474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Muhammad Azmi</cp:lastModifiedBy>
  <dcterms:modified xsi:type="dcterms:W3CDTF">2026-04-28T03:09:16Z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eyJoZGlkIjoiNTQzYjUyYWFjMjZhZDNmMzE3NWYyZWZhNDJkMzc3YjMiLCJ1c2VySWQiOiI4ODEzMzUxMTI5MTM5In0=</vt:lpwstr>
  </property>
  <property fmtid="{D5CDD505-2E9C-101B-9397-08002B2CF9AE}" pid="3" name="KSOProductBuildVer">
    <vt:lpwstr>1057-12.1.0.25862</vt:lpwstr>
  </property>
  <property fmtid="{D5CDD505-2E9C-101B-9397-08002B2CF9AE}" pid="4" name="ICV">
    <vt:lpwstr>B81B6CFC93A84465836525A248624871_12</vt:lpwstr>
  </property>
</Properties>
</file>